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BED13" w14:textId="54795AAD" w:rsidR="00795C99" w:rsidRDefault="00C37504" w:rsidP="00C37504">
      <w:pPr>
        <w:pStyle w:val="Heading1"/>
        <w:rPr>
          <w:lang w:val="en-GB"/>
        </w:rPr>
      </w:pPr>
      <w:r w:rsidRPr="00C37504">
        <w:rPr>
          <w:lang w:val="en-GB"/>
        </w:rPr>
        <w:t xml:space="preserve">Green area visualization based on </w:t>
      </w:r>
      <w:r>
        <w:rPr>
          <w:lang w:val="en-GB"/>
        </w:rPr>
        <w:t xml:space="preserve">GreenTwins </w:t>
      </w:r>
      <w:r w:rsidR="00AC4841">
        <w:rPr>
          <w:lang w:val="en-GB"/>
        </w:rPr>
        <w:t>plant cover</w:t>
      </w:r>
      <w:r w:rsidRPr="00C37504">
        <w:rPr>
          <w:lang w:val="en-GB"/>
        </w:rPr>
        <w:t xml:space="preserve"> type data</w:t>
      </w:r>
    </w:p>
    <w:p w14:paraId="4E986FEB" w14:textId="77777777" w:rsidR="00EF7037" w:rsidRPr="00EF7037" w:rsidRDefault="00EF7037" w:rsidP="00EF7037">
      <w:pPr>
        <w:rPr>
          <w:lang w:val="en-GB"/>
        </w:rPr>
      </w:pPr>
    </w:p>
    <w:p w14:paraId="44E2CA6C" w14:textId="77777777" w:rsidR="00EF7037" w:rsidRDefault="00EF7037" w:rsidP="00EF7037">
      <w:pPr>
        <w:pStyle w:val="Heading2"/>
        <w:rPr>
          <w:rFonts w:ascii="Calibri" w:eastAsia="Calibri" w:hAnsi="Calibri" w:cs="Calibri"/>
          <w:b/>
          <w:bCs/>
          <w:color w:val="000000" w:themeColor="text1"/>
          <w:sz w:val="22"/>
          <w:szCs w:val="22"/>
        </w:rPr>
      </w:pPr>
      <w:r>
        <w:t>Guidelines for defining green area/plant cover polygons for GreenTwins target sites:</w:t>
      </w:r>
    </w:p>
    <w:p w14:paraId="4B7C73D7" w14:textId="77777777" w:rsidR="00EF7037" w:rsidRDefault="00EF7037" w:rsidP="00EF7037">
      <w:pPr>
        <w:rPr>
          <w:rFonts w:ascii="Calibri" w:eastAsia="Calibri" w:hAnsi="Calibri" w:cs="Calibri"/>
          <w:color w:val="000000" w:themeColor="text1"/>
        </w:rPr>
      </w:pPr>
      <w:r>
        <w:rPr>
          <w:rFonts w:ascii="Calibri" w:eastAsia="Calibri" w:hAnsi="Calibri" w:cs="Calibri"/>
          <w:color w:val="000000" w:themeColor="text1"/>
        </w:rPr>
        <w:t>For green digital twins, green area/plant cover polygons are used for:</w:t>
      </w:r>
    </w:p>
    <w:p w14:paraId="0074DA72" w14:textId="77777777" w:rsidR="00EF7037" w:rsidRDefault="00EF7037" w:rsidP="00EF7037">
      <w:pPr>
        <w:pStyle w:val="ListParagraph"/>
        <w:numPr>
          <w:ilvl w:val="0"/>
          <w:numId w:val="3"/>
        </w:numPr>
        <w:spacing w:line="256" w:lineRule="auto"/>
        <w:rPr>
          <w:rFonts w:ascii="Calibri" w:eastAsia="Calibri" w:hAnsi="Calibri" w:cs="Calibri"/>
          <w:color w:val="000000" w:themeColor="text1"/>
        </w:rPr>
      </w:pPr>
      <w:r>
        <w:rPr>
          <w:rFonts w:ascii="Calibri" w:eastAsia="Calibri" w:hAnsi="Calibri" w:cs="Calibri"/>
          <w:color w:val="000000" w:themeColor="text1"/>
        </w:rPr>
        <w:t xml:space="preserve">Visualization of the current vegetation (e.g. how vegetation height affects visibility), see details at </w:t>
      </w:r>
      <w:hyperlink r:id="rId8" w:history="1">
        <w:r>
          <w:rPr>
            <w:rStyle w:val="Hyperlink"/>
          </w:rPr>
          <w:t>Green area visualization based on habitat type data.docx</w:t>
        </w:r>
      </w:hyperlink>
    </w:p>
    <w:p w14:paraId="1DED0B00" w14:textId="77777777" w:rsidR="00EF7037" w:rsidRDefault="00EF7037" w:rsidP="00EF7037">
      <w:pPr>
        <w:pStyle w:val="ListParagraph"/>
        <w:numPr>
          <w:ilvl w:val="0"/>
          <w:numId w:val="3"/>
        </w:numPr>
        <w:spacing w:line="256" w:lineRule="auto"/>
        <w:rPr>
          <w:rFonts w:ascii="Calibri" w:eastAsia="Calibri" w:hAnsi="Calibri" w:cs="Calibri"/>
          <w:color w:val="000000" w:themeColor="text1"/>
        </w:rPr>
      </w:pPr>
      <w:r>
        <w:rPr>
          <w:rFonts w:ascii="Calibri" w:eastAsia="Calibri" w:hAnsi="Calibri" w:cs="Calibri"/>
          <w:color w:val="000000" w:themeColor="text1"/>
        </w:rPr>
        <w:t>Projection of vegetation development into the future, either based on status quo or based on specific intervention scenario</w:t>
      </w:r>
    </w:p>
    <w:p w14:paraId="29CBD2B3" w14:textId="77777777" w:rsidR="00EF7037" w:rsidRDefault="00EF7037" w:rsidP="00EF7037">
      <w:pPr>
        <w:pStyle w:val="ListParagraph"/>
        <w:numPr>
          <w:ilvl w:val="0"/>
          <w:numId w:val="3"/>
        </w:numPr>
        <w:spacing w:line="256" w:lineRule="auto"/>
        <w:rPr>
          <w:rFonts w:ascii="Calibri" w:eastAsia="Calibri" w:hAnsi="Calibri" w:cs="Calibri"/>
          <w:color w:val="000000" w:themeColor="text1"/>
        </w:rPr>
      </w:pPr>
      <w:r>
        <w:rPr>
          <w:rFonts w:ascii="Calibri" w:eastAsia="Calibri" w:hAnsi="Calibri" w:cs="Calibri"/>
          <w:color w:val="000000" w:themeColor="text1"/>
        </w:rPr>
        <w:t>Analysis of green area properties, e.g. biodiversity value or ecosystem services produced, both at the moment and in the projected future (status quo or intervention scenario)</w:t>
      </w:r>
    </w:p>
    <w:p w14:paraId="0B5ED7E3" w14:textId="77777777" w:rsidR="00EF7037" w:rsidRDefault="00EF7037" w:rsidP="00EF7037">
      <w:pPr>
        <w:pStyle w:val="ListParagraph"/>
        <w:numPr>
          <w:ilvl w:val="0"/>
          <w:numId w:val="3"/>
        </w:numPr>
        <w:spacing w:line="256" w:lineRule="auto"/>
        <w:rPr>
          <w:rFonts w:ascii="Calibri" w:eastAsia="Calibri" w:hAnsi="Calibri" w:cs="Calibri"/>
          <w:color w:val="000000" w:themeColor="text1"/>
        </w:rPr>
      </w:pPr>
      <w:r>
        <w:rPr>
          <w:rFonts w:ascii="Calibri" w:eastAsia="Calibri" w:hAnsi="Calibri" w:cs="Calibri"/>
          <w:color w:val="000000" w:themeColor="text1"/>
        </w:rPr>
        <w:t>Test different kinds of intervention scenarios, e.g. change of vegetation type or change of vegetation maintenance</w:t>
      </w:r>
    </w:p>
    <w:p w14:paraId="508CD9CC" w14:textId="77777777" w:rsidR="00EF7037" w:rsidRDefault="00EF7037" w:rsidP="00EF7037">
      <w:pPr>
        <w:rPr>
          <w:rFonts w:ascii="Calibri" w:eastAsia="Calibri" w:hAnsi="Calibri" w:cs="Calibri"/>
          <w:color w:val="000000" w:themeColor="text1"/>
        </w:rPr>
      </w:pPr>
      <w:r>
        <w:rPr>
          <w:rFonts w:ascii="Calibri" w:eastAsia="Calibri" w:hAnsi="Calibri" w:cs="Calibri"/>
          <w:color w:val="000000" w:themeColor="text1"/>
        </w:rPr>
        <w:t>To be able to present and project green area vegetation accurately, and for users to be able to test different interventions, it is important to delineate green area polygons at target sites in small enough level of detail.</w:t>
      </w:r>
    </w:p>
    <w:p w14:paraId="468C3D64" w14:textId="77777777" w:rsidR="00EF7037" w:rsidRDefault="00EF7037" w:rsidP="00EF7037">
      <w:pPr>
        <w:pStyle w:val="ListParagraph"/>
        <w:numPr>
          <w:ilvl w:val="0"/>
          <w:numId w:val="4"/>
        </w:numPr>
        <w:spacing w:line="256" w:lineRule="auto"/>
        <w:rPr>
          <w:rFonts w:ascii="Calibri" w:eastAsia="Calibri" w:hAnsi="Calibri" w:cs="Calibri"/>
          <w:color w:val="000000" w:themeColor="text1"/>
        </w:rPr>
      </w:pPr>
      <w:r>
        <w:rPr>
          <w:rFonts w:ascii="Calibri" w:eastAsia="Calibri" w:hAnsi="Calibri" w:cs="Calibri"/>
          <w:color w:val="000000" w:themeColor="text1"/>
        </w:rPr>
        <w:t>One plant cover polygon should represent an area where all vegetation in reality has the same average layer structure, same average height, same vegetation type and same soil and local environmental conditions.</w:t>
      </w:r>
    </w:p>
    <w:p w14:paraId="0D1BF20F" w14:textId="77777777" w:rsidR="00EF7037" w:rsidRDefault="00EF7037" w:rsidP="00EF7037">
      <w:pPr>
        <w:pStyle w:val="ListParagraph"/>
        <w:numPr>
          <w:ilvl w:val="0"/>
          <w:numId w:val="4"/>
        </w:numPr>
        <w:spacing w:line="256" w:lineRule="auto"/>
        <w:rPr>
          <w:rFonts w:ascii="Calibri" w:eastAsia="Calibri" w:hAnsi="Calibri" w:cs="Calibri"/>
          <w:color w:val="000000" w:themeColor="text1"/>
        </w:rPr>
      </w:pPr>
      <w:r>
        <w:rPr>
          <w:rFonts w:ascii="Calibri" w:eastAsia="Calibri" w:hAnsi="Calibri" w:cs="Calibri"/>
          <w:color w:val="000000" w:themeColor="text1"/>
        </w:rPr>
        <w:t>In highly maintained areas, such as parks, one polygon should only contain areas of one uniform function and one maintenance intensity.</w:t>
      </w:r>
    </w:p>
    <w:p w14:paraId="0421DCEE" w14:textId="77777777" w:rsidR="00EF7037" w:rsidRDefault="00EF7037" w:rsidP="00EF7037">
      <w:pPr>
        <w:pStyle w:val="ListParagraph"/>
        <w:numPr>
          <w:ilvl w:val="0"/>
          <w:numId w:val="4"/>
        </w:numPr>
        <w:spacing w:line="256" w:lineRule="auto"/>
        <w:rPr>
          <w:rFonts w:ascii="Calibri" w:eastAsia="Calibri" w:hAnsi="Calibri" w:cs="Calibri"/>
          <w:color w:val="000000" w:themeColor="text1"/>
        </w:rPr>
      </w:pPr>
      <w:r>
        <w:rPr>
          <w:rFonts w:ascii="Calibri" w:eastAsia="Calibri" w:hAnsi="Calibri" w:cs="Calibri"/>
          <w:color w:val="000000" w:themeColor="text1"/>
        </w:rPr>
        <w:t>Sites with one uniform function and vegetation may be split into smaller areas also if users of the digital twin might want to test different vegetation options for different parts of the polygon.</w:t>
      </w:r>
    </w:p>
    <w:p w14:paraId="222541C6" w14:textId="77777777" w:rsidR="00EF7037" w:rsidRDefault="00EF7037" w:rsidP="00EF7037">
      <w:pPr>
        <w:pStyle w:val="ListParagraph"/>
        <w:numPr>
          <w:ilvl w:val="0"/>
          <w:numId w:val="4"/>
        </w:numPr>
        <w:spacing w:line="256" w:lineRule="auto"/>
        <w:rPr>
          <w:rFonts w:ascii="Calibri" w:eastAsia="Calibri" w:hAnsi="Calibri" w:cs="Calibri"/>
          <w:color w:val="000000" w:themeColor="text1"/>
        </w:rPr>
      </w:pPr>
      <w:r>
        <w:rPr>
          <w:rFonts w:ascii="Calibri" w:eastAsia="Calibri" w:hAnsi="Calibri" w:cs="Calibri"/>
          <w:color w:val="000000" w:themeColor="text1"/>
        </w:rPr>
        <w:t>In spontaneously growing areas, such as ruderal areas, green area delineations should follow natural land formations and surface height contour lines, so that it is likely that vegetation will grow and evolve in a similar manner throughout the polygon.</w:t>
      </w:r>
    </w:p>
    <w:p w14:paraId="0A58FBF6" w14:textId="2A374172" w:rsidR="00EF7037" w:rsidRDefault="00EF7037" w:rsidP="00EF7037">
      <w:pPr>
        <w:pStyle w:val="ListParagraph"/>
        <w:numPr>
          <w:ilvl w:val="0"/>
          <w:numId w:val="4"/>
        </w:numPr>
        <w:spacing w:line="256" w:lineRule="auto"/>
        <w:rPr>
          <w:rFonts w:ascii="Calibri" w:eastAsia="Calibri" w:hAnsi="Calibri" w:cs="Calibri"/>
          <w:color w:val="000000" w:themeColor="text1"/>
        </w:rPr>
      </w:pPr>
      <w:r>
        <w:rPr>
          <w:rFonts w:ascii="Calibri" w:eastAsia="Calibri" w:hAnsi="Calibri" w:cs="Calibri"/>
          <w:color w:val="000000" w:themeColor="text1"/>
        </w:rPr>
        <w:t>In spontaneously growing areas, where one invasive species might spread from one polygon into another, green area polygons should also be small enough so that species spread from one polygon to another can be reasonably visualized, without new species appearing at very large areas at once.</w:t>
      </w:r>
    </w:p>
    <w:p w14:paraId="24D68357" w14:textId="77777777" w:rsidR="00EF7037" w:rsidRDefault="00EF7037" w:rsidP="00EF7037">
      <w:pPr>
        <w:pStyle w:val="ListParagraph"/>
        <w:spacing w:line="256" w:lineRule="auto"/>
        <w:ind w:left="360"/>
        <w:rPr>
          <w:rFonts w:ascii="Calibri" w:eastAsia="Calibri" w:hAnsi="Calibri" w:cs="Calibri"/>
          <w:color w:val="000000" w:themeColor="text1"/>
        </w:rPr>
      </w:pPr>
    </w:p>
    <w:p w14:paraId="5ECABDCC" w14:textId="77777777" w:rsidR="00EF7037" w:rsidRPr="001A48C3" w:rsidRDefault="00EF7037" w:rsidP="00EF7037">
      <w:pPr>
        <w:pStyle w:val="Heading2"/>
        <w:rPr>
          <w:lang w:val="en-GB"/>
        </w:rPr>
      </w:pPr>
      <w:r w:rsidRPr="001A48C3">
        <w:rPr>
          <w:lang w:val="en-GB"/>
        </w:rPr>
        <w:t>Species composition data of g</w:t>
      </w:r>
      <w:r>
        <w:rPr>
          <w:lang w:val="en-GB"/>
        </w:rPr>
        <w:t>reen area plant cover layers</w:t>
      </w:r>
    </w:p>
    <w:p w14:paraId="5F44D586" w14:textId="77777777" w:rsidR="00EF7037" w:rsidRDefault="00EF7037" w:rsidP="00EF7037">
      <w:pPr>
        <w:rPr>
          <w:lang w:val="en-GB"/>
        </w:rPr>
      </w:pPr>
      <w:r w:rsidRPr="00C37504">
        <w:rPr>
          <w:lang w:val="en-GB"/>
        </w:rPr>
        <w:t>The GreenTwins green area information model classifies plants into three vegetation layers: (A) Trees, (B) Bushes and Shrubs, and (C) grassy/herbaceous vegetation</w:t>
      </w:r>
      <w:r>
        <w:rPr>
          <w:lang w:val="en-GB"/>
        </w:rPr>
        <w:t xml:space="preserve"> (Fig. 1)</w:t>
      </w:r>
      <w:r w:rsidRPr="00C37504">
        <w:rPr>
          <w:lang w:val="en-GB"/>
        </w:rPr>
        <w:t>.</w:t>
      </w:r>
      <w:r>
        <w:rPr>
          <w:lang w:val="en-GB"/>
        </w:rPr>
        <w:t xml:space="preserve"> </w:t>
      </w:r>
      <w:r w:rsidRPr="00C37504">
        <w:rPr>
          <w:lang w:val="en-GB"/>
        </w:rPr>
        <w:t xml:space="preserve">Each layer has </w:t>
      </w:r>
      <w:r>
        <w:rPr>
          <w:lang w:val="en-GB"/>
        </w:rPr>
        <w:t xml:space="preserve">a </w:t>
      </w:r>
      <w:r w:rsidRPr="00C37504">
        <w:rPr>
          <w:lang w:val="en-GB"/>
        </w:rPr>
        <w:t>list of species, and f</w:t>
      </w:r>
      <w:r>
        <w:rPr>
          <w:lang w:val="en-GB"/>
        </w:rPr>
        <w:t>or each species, Species cover has been defined in percentages (%).</w:t>
      </w:r>
    </w:p>
    <w:p w14:paraId="40E9A77A" w14:textId="15E2CC5E" w:rsidR="00EF7037" w:rsidRPr="00EF7037" w:rsidRDefault="00EF7037" w:rsidP="00EF7037">
      <w:pPr>
        <w:rPr>
          <w:lang w:val="en-GB"/>
        </w:rPr>
      </w:pPr>
      <w:r>
        <w:rPr>
          <w:lang w:val="en-GB"/>
        </w:rPr>
        <w:t xml:space="preserve">For </w:t>
      </w:r>
      <w:r w:rsidRPr="00C37504">
        <w:rPr>
          <w:lang w:val="en-GB"/>
        </w:rPr>
        <w:t>(A) Trees and (B) B</w:t>
      </w:r>
      <w:r>
        <w:rPr>
          <w:lang w:val="en-GB"/>
        </w:rPr>
        <w:t>u</w:t>
      </w:r>
      <w:r w:rsidRPr="00C37504">
        <w:rPr>
          <w:lang w:val="en-GB"/>
        </w:rPr>
        <w:t>shes a</w:t>
      </w:r>
      <w:r>
        <w:rPr>
          <w:lang w:val="en-GB"/>
        </w:rPr>
        <w:t xml:space="preserve">nd Shrubs, it is also possible to define an Age class that roughly describe the height and successional stage of the vegetation. Age classes are defined as </w:t>
      </w:r>
      <w:r w:rsidRPr="00AE77A6">
        <w:rPr>
          <w:lang w:val="en-GB"/>
        </w:rPr>
        <w:t>0–20</w:t>
      </w:r>
      <w:r>
        <w:rPr>
          <w:lang w:val="en-GB"/>
        </w:rPr>
        <w:t xml:space="preserve"> years, </w:t>
      </w:r>
      <w:r w:rsidRPr="00AE77A6">
        <w:rPr>
          <w:lang w:val="en-GB"/>
        </w:rPr>
        <w:t>20–60</w:t>
      </w:r>
      <w:r>
        <w:rPr>
          <w:lang w:val="en-GB"/>
        </w:rPr>
        <w:t xml:space="preserve"> years, </w:t>
      </w:r>
      <w:r w:rsidRPr="00AE77A6">
        <w:rPr>
          <w:lang w:val="en-GB"/>
        </w:rPr>
        <w:t>60–</w:t>
      </w:r>
      <w:r>
        <w:rPr>
          <w:lang w:val="en-GB"/>
        </w:rPr>
        <w:t xml:space="preserve"> years, or </w:t>
      </w:r>
      <w:r w:rsidRPr="00AE77A6">
        <w:rPr>
          <w:lang w:val="en-GB"/>
        </w:rPr>
        <w:t>Unspecified</w:t>
      </w:r>
      <w:r>
        <w:rPr>
          <w:lang w:val="en-GB"/>
        </w:rPr>
        <w:t>.</w:t>
      </w:r>
    </w:p>
    <w:p w14:paraId="6926F949" w14:textId="73361D0D" w:rsidR="007F2E5B" w:rsidRDefault="007F2E5B" w:rsidP="007F2E5B">
      <w:pPr>
        <w:rPr>
          <w:lang w:val="en-GB"/>
        </w:rPr>
      </w:pPr>
      <w:r>
        <w:rPr>
          <w:noProof/>
          <w:lang w:val="fi-FI"/>
        </w:rPr>
        <w:lastRenderedPageBreak/>
        <w:drawing>
          <wp:inline distT="0" distB="0" distL="0" distR="0" wp14:anchorId="1736553E" wp14:editId="1A70D855">
            <wp:extent cx="5896694" cy="1987588"/>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8126" cy="2011665"/>
                    </a:xfrm>
                    <a:prstGeom prst="rect">
                      <a:avLst/>
                    </a:prstGeom>
                    <a:noFill/>
                  </pic:spPr>
                </pic:pic>
              </a:graphicData>
            </a:graphic>
          </wp:inline>
        </w:drawing>
      </w:r>
      <w:r w:rsidRPr="00A57115">
        <w:rPr>
          <w:lang w:val="en-GB"/>
        </w:rPr>
        <w:br/>
      </w:r>
      <w:r w:rsidRPr="00A57115">
        <w:rPr>
          <w:b/>
          <w:lang w:val="en-GB"/>
        </w:rPr>
        <w:t xml:space="preserve">Figure 1. </w:t>
      </w:r>
      <w:r w:rsidRPr="007F2E5B">
        <w:rPr>
          <w:lang w:val="en-GB"/>
        </w:rPr>
        <w:t xml:space="preserve">The three vegetation layers </w:t>
      </w:r>
      <w:r>
        <w:rPr>
          <w:lang w:val="en-GB"/>
        </w:rPr>
        <w:t xml:space="preserve">of GreenTwins </w:t>
      </w:r>
      <w:r w:rsidR="00AC4841">
        <w:rPr>
          <w:lang w:val="en-GB"/>
        </w:rPr>
        <w:t>plant cover</w:t>
      </w:r>
      <w:r>
        <w:rPr>
          <w:lang w:val="en-GB"/>
        </w:rPr>
        <w:t xml:space="preserve"> types (A, B and C) for which vegetation coverages are defined </w:t>
      </w:r>
      <w:r w:rsidR="001E5535">
        <w:rPr>
          <w:lang w:val="en-GB"/>
        </w:rPr>
        <w:t xml:space="preserve">separately </w:t>
      </w:r>
      <w:r>
        <w:rPr>
          <w:lang w:val="en-GB"/>
        </w:rPr>
        <w:t xml:space="preserve">(left), </w:t>
      </w:r>
      <w:r w:rsidR="001E5535">
        <w:rPr>
          <w:lang w:val="en-GB"/>
        </w:rPr>
        <w:t xml:space="preserve">after which plant individuals are </w:t>
      </w:r>
      <w:r>
        <w:rPr>
          <w:lang w:val="en-GB"/>
        </w:rPr>
        <w:t>randomiz</w:t>
      </w:r>
      <w:r w:rsidR="001E5535">
        <w:rPr>
          <w:lang w:val="en-GB"/>
        </w:rPr>
        <w:t xml:space="preserve">ed </w:t>
      </w:r>
      <w:r>
        <w:rPr>
          <w:lang w:val="en-GB"/>
        </w:rPr>
        <w:t xml:space="preserve">to the green area </w:t>
      </w:r>
      <w:r w:rsidR="001E5535">
        <w:rPr>
          <w:lang w:val="en-GB"/>
        </w:rPr>
        <w:t xml:space="preserve">to create the defined vegetation coverages </w:t>
      </w:r>
      <w:r>
        <w:rPr>
          <w:lang w:val="en-GB"/>
        </w:rPr>
        <w:t>(right).</w:t>
      </w:r>
    </w:p>
    <w:p w14:paraId="7E056B4A" w14:textId="77777777" w:rsidR="00EF7037" w:rsidRPr="007F2E5B" w:rsidRDefault="00EF7037" w:rsidP="007F2E5B">
      <w:pPr>
        <w:rPr>
          <w:lang w:val="en-GB"/>
        </w:rPr>
      </w:pPr>
    </w:p>
    <w:p w14:paraId="1E36F554" w14:textId="5BE67808" w:rsidR="001A48C3" w:rsidRPr="001A48C3" w:rsidRDefault="001A48C3" w:rsidP="001A48C3">
      <w:pPr>
        <w:pStyle w:val="Heading2"/>
        <w:rPr>
          <w:lang w:val="en-GB"/>
        </w:rPr>
      </w:pPr>
      <w:r>
        <w:rPr>
          <w:lang w:val="en-GB"/>
        </w:rPr>
        <w:t>Randomizing plant 3D models</w:t>
      </w:r>
      <w:r w:rsidR="00033E07">
        <w:rPr>
          <w:lang w:val="en-GB"/>
        </w:rPr>
        <w:t xml:space="preserve"> at green area polygons</w:t>
      </w:r>
    </w:p>
    <w:p w14:paraId="1A47B6E4" w14:textId="1B650807" w:rsidR="006039CA" w:rsidRPr="006039CA" w:rsidRDefault="00BF165E" w:rsidP="006039CA">
      <w:pPr>
        <w:rPr>
          <w:lang w:val="en-GB"/>
        </w:rPr>
      </w:pPr>
      <w:r w:rsidRPr="006039CA">
        <w:rPr>
          <w:lang w:val="en-GB"/>
        </w:rPr>
        <w:t>GreenTwins applications should use the above</w:t>
      </w:r>
      <w:r w:rsidR="00305656">
        <w:rPr>
          <w:lang w:val="en-GB"/>
        </w:rPr>
        <w:t>-</w:t>
      </w:r>
      <w:r w:rsidRPr="006039CA">
        <w:rPr>
          <w:lang w:val="en-GB"/>
        </w:rPr>
        <w:t>mentioned species composition information for green area visualization as follows:</w:t>
      </w:r>
    </w:p>
    <w:p w14:paraId="011B3B90" w14:textId="1ADDE222" w:rsidR="006039CA" w:rsidRDefault="006039CA" w:rsidP="006039CA">
      <w:pPr>
        <w:pStyle w:val="ListParagraph"/>
        <w:numPr>
          <w:ilvl w:val="0"/>
          <w:numId w:val="1"/>
        </w:numPr>
        <w:rPr>
          <w:lang w:val="en-GB"/>
        </w:rPr>
      </w:pPr>
      <w:r w:rsidRPr="006039CA">
        <w:rPr>
          <w:lang w:val="en-GB"/>
        </w:rPr>
        <w:t xml:space="preserve">Retrieve appropriate 3D models for the species </w:t>
      </w:r>
      <w:r w:rsidR="00305656">
        <w:rPr>
          <w:lang w:val="en-GB"/>
        </w:rPr>
        <w:t xml:space="preserve">of the </w:t>
      </w:r>
      <w:r w:rsidR="00AC4841">
        <w:rPr>
          <w:lang w:val="en-GB"/>
        </w:rPr>
        <w:t>plant cover</w:t>
      </w:r>
      <w:r w:rsidR="00305656">
        <w:rPr>
          <w:lang w:val="en-GB"/>
        </w:rPr>
        <w:t xml:space="preserve"> type </w:t>
      </w:r>
      <w:r>
        <w:rPr>
          <w:lang w:val="en-GB"/>
        </w:rPr>
        <w:t>(</w:t>
      </w:r>
      <w:r w:rsidRPr="006039CA">
        <w:rPr>
          <w:lang w:val="en-GB"/>
        </w:rPr>
        <w:t xml:space="preserve">and </w:t>
      </w:r>
      <w:r w:rsidR="00305656">
        <w:rPr>
          <w:lang w:val="en-GB"/>
        </w:rPr>
        <w:t xml:space="preserve">their </w:t>
      </w:r>
      <w:r w:rsidRPr="006039CA">
        <w:rPr>
          <w:lang w:val="en-GB"/>
        </w:rPr>
        <w:t>age class</w:t>
      </w:r>
      <w:r w:rsidR="00305656">
        <w:rPr>
          <w:lang w:val="en-GB"/>
        </w:rPr>
        <w:t>es</w:t>
      </w:r>
      <w:r>
        <w:rPr>
          <w:lang w:val="en-GB"/>
        </w:rPr>
        <w:t>)</w:t>
      </w:r>
      <w:r w:rsidRPr="006039CA">
        <w:rPr>
          <w:lang w:val="en-GB"/>
        </w:rPr>
        <w:t xml:space="preserve"> </w:t>
      </w:r>
      <w:r w:rsidR="00305656">
        <w:rPr>
          <w:lang w:val="en-GB"/>
        </w:rPr>
        <w:t xml:space="preserve">from the </w:t>
      </w:r>
      <w:r w:rsidRPr="006039CA">
        <w:rPr>
          <w:lang w:val="en-GB"/>
        </w:rPr>
        <w:t>Species database</w:t>
      </w:r>
      <w:r w:rsidR="00AE77A6">
        <w:rPr>
          <w:lang w:val="en-GB"/>
        </w:rPr>
        <w:t>. It is advised to use 3D models that represent the mid-point age of the age class, and normal variation around this age.</w:t>
      </w:r>
      <w:r w:rsidR="00305656">
        <w:rPr>
          <w:lang w:val="en-GB"/>
        </w:rPr>
        <w:t xml:space="preserve"> If </w:t>
      </w:r>
      <w:r w:rsidR="00235C11">
        <w:rPr>
          <w:lang w:val="en-GB"/>
        </w:rPr>
        <w:t xml:space="preserve">Age class is Unspecified, </w:t>
      </w:r>
      <w:r w:rsidR="0005165A">
        <w:rPr>
          <w:lang w:val="en-GB"/>
        </w:rPr>
        <w:t xml:space="preserve">age </w:t>
      </w:r>
      <w:r w:rsidR="00235C11">
        <w:rPr>
          <w:lang w:val="en-GB"/>
        </w:rPr>
        <w:t xml:space="preserve">variation </w:t>
      </w:r>
      <w:r w:rsidR="00811CE9">
        <w:rPr>
          <w:lang w:val="en-GB"/>
        </w:rPr>
        <w:t xml:space="preserve">can be larger, but </w:t>
      </w:r>
      <w:r w:rsidR="00235C11">
        <w:rPr>
          <w:lang w:val="en-GB"/>
        </w:rPr>
        <w:t xml:space="preserve">should include mature </w:t>
      </w:r>
      <w:r w:rsidR="00A201C5">
        <w:rPr>
          <w:lang w:val="en-GB"/>
        </w:rPr>
        <w:t>plants</w:t>
      </w:r>
      <w:r w:rsidR="00EC1D5E">
        <w:rPr>
          <w:lang w:val="en-GB"/>
        </w:rPr>
        <w:t xml:space="preserve"> (=plants whose height is close to </w:t>
      </w:r>
      <w:proofErr w:type="gramStart"/>
      <w:r w:rsidR="00EC1D5E">
        <w:rPr>
          <w:lang w:val="en-GB"/>
        </w:rPr>
        <w:t xml:space="preserve">the </w:t>
      </w:r>
      <w:r w:rsidR="00235C11">
        <w:rPr>
          <w:lang w:val="en-GB"/>
        </w:rPr>
        <w:t>.</w:t>
      </w:r>
      <w:proofErr w:type="gramEnd"/>
    </w:p>
    <w:p w14:paraId="72317E27" w14:textId="77777777" w:rsidR="005833D6" w:rsidRPr="006039CA" w:rsidRDefault="005833D6" w:rsidP="005833D6">
      <w:pPr>
        <w:pStyle w:val="ListParagraph"/>
        <w:ind w:left="360"/>
        <w:rPr>
          <w:lang w:val="en-GB"/>
        </w:rPr>
      </w:pPr>
    </w:p>
    <w:p w14:paraId="4E00B2EF" w14:textId="77777777" w:rsidR="005833D6" w:rsidRDefault="006039CA" w:rsidP="006039CA">
      <w:pPr>
        <w:pStyle w:val="ListParagraph"/>
        <w:numPr>
          <w:ilvl w:val="0"/>
          <w:numId w:val="1"/>
        </w:numPr>
        <w:rPr>
          <w:lang w:val="en-GB"/>
        </w:rPr>
      </w:pPr>
      <w:r w:rsidRPr="006039CA">
        <w:rPr>
          <w:lang w:val="en-GB"/>
        </w:rPr>
        <w:t xml:space="preserve">Calculate the number of individuals needed </w:t>
      </w:r>
      <w:r>
        <w:rPr>
          <w:lang w:val="en-GB"/>
        </w:rPr>
        <w:t xml:space="preserve">for each species </w:t>
      </w:r>
      <w:r w:rsidRPr="006039CA">
        <w:rPr>
          <w:lang w:val="en-GB"/>
        </w:rPr>
        <w:t xml:space="preserve">to </w:t>
      </w:r>
      <w:r>
        <w:rPr>
          <w:lang w:val="en-GB"/>
        </w:rPr>
        <w:t>cover the given Species cover % of the green area.</w:t>
      </w:r>
    </w:p>
    <w:p w14:paraId="19C29EBE" w14:textId="77777777" w:rsidR="005833D6" w:rsidRDefault="001A48C3" w:rsidP="005833D6">
      <w:pPr>
        <w:pStyle w:val="ListParagraph"/>
        <w:numPr>
          <w:ilvl w:val="1"/>
          <w:numId w:val="1"/>
        </w:numPr>
        <w:rPr>
          <w:lang w:val="en-GB"/>
        </w:rPr>
      </w:pPr>
      <w:r>
        <w:rPr>
          <w:lang w:val="en-GB"/>
        </w:rPr>
        <w:t>For Trees and Bushes and Shrubs, t</w:t>
      </w:r>
      <w:r w:rsidR="006039CA">
        <w:rPr>
          <w:lang w:val="en-GB"/>
        </w:rPr>
        <w:t xml:space="preserve">he cover </w:t>
      </w:r>
      <w:r w:rsidR="005F0861">
        <w:rPr>
          <w:lang w:val="en-GB"/>
        </w:rPr>
        <w:t xml:space="preserve">of </w:t>
      </w:r>
      <w:r w:rsidR="006039CA">
        <w:rPr>
          <w:lang w:val="en-GB"/>
        </w:rPr>
        <w:t xml:space="preserve">one individual is calculated </w:t>
      </w:r>
      <w:r w:rsidR="003E276A">
        <w:rPr>
          <w:lang w:val="en-GB"/>
        </w:rPr>
        <w:t xml:space="preserve">from </w:t>
      </w:r>
      <w:r w:rsidR="006039CA">
        <w:rPr>
          <w:lang w:val="en-GB"/>
        </w:rPr>
        <w:t xml:space="preserve">the maximum </w:t>
      </w:r>
      <w:r w:rsidR="003E276A">
        <w:rPr>
          <w:lang w:val="en-GB"/>
        </w:rPr>
        <w:t>canopy radius</w:t>
      </w:r>
      <w:r w:rsidR="006039CA">
        <w:rPr>
          <w:lang w:val="en-GB"/>
        </w:rPr>
        <w:t xml:space="preserve"> of the species’ 3D model</w:t>
      </w:r>
      <w:r w:rsidR="003E276A">
        <w:rPr>
          <w:lang w:val="en-GB"/>
        </w:rPr>
        <w:t>(s)</w:t>
      </w:r>
      <w:r w:rsidR="006039CA">
        <w:rPr>
          <w:lang w:val="en-GB"/>
        </w:rPr>
        <w:t xml:space="preserve">, or the </w:t>
      </w:r>
      <w:r w:rsidR="00AE77A6">
        <w:rPr>
          <w:lang w:val="en-GB"/>
        </w:rPr>
        <w:t>canopy width parameter</w:t>
      </w:r>
      <w:r>
        <w:rPr>
          <w:lang w:val="en-GB"/>
        </w:rPr>
        <w:t>(s) of the used age class(es)</w:t>
      </w:r>
      <w:r w:rsidR="003E276A">
        <w:rPr>
          <w:lang w:val="en-GB"/>
        </w:rPr>
        <w:t>, assuming a circular canopy</w:t>
      </w:r>
      <w:r w:rsidR="006039CA">
        <w:rPr>
          <w:lang w:val="en-GB"/>
        </w:rPr>
        <w:t>.</w:t>
      </w:r>
    </w:p>
    <w:p w14:paraId="43A8C78A" w14:textId="3078FDFA" w:rsidR="006039CA" w:rsidRDefault="001A48C3" w:rsidP="005833D6">
      <w:pPr>
        <w:pStyle w:val="ListParagraph"/>
        <w:numPr>
          <w:ilvl w:val="1"/>
          <w:numId w:val="1"/>
        </w:numPr>
        <w:rPr>
          <w:lang w:val="en-GB"/>
        </w:rPr>
      </w:pPr>
      <w:r>
        <w:rPr>
          <w:lang w:val="en-GB"/>
        </w:rPr>
        <w:t xml:space="preserve">For Herbaceous plants, </w:t>
      </w:r>
      <w:r w:rsidR="00A46119">
        <w:rPr>
          <w:lang w:val="en-GB"/>
        </w:rPr>
        <w:t>relative densities</w:t>
      </w:r>
      <w:r>
        <w:rPr>
          <w:lang w:val="en-GB"/>
        </w:rPr>
        <w:t xml:space="preserve"> </w:t>
      </w:r>
      <w:r w:rsidR="00861CCF">
        <w:rPr>
          <w:lang w:val="en-GB"/>
        </w:rPr>
        <w:t>of individual</w:t>
      </w:r>
      <w:r w:rsidR="00A46119">
        <w:rPr>
          <w:lang w:val="en-GB"/>
        </w:rPr>
        <w:t xml:space="preserve">s of different species </w:t>
      </w:r>
      <w:r w:rsidR="00784B5D">
        <w:rPr>
          <w:lang w:val="en-GB"/>
        </w:rPr>
        <w:t xml:space="preserve">are guided by </w:t>
      </w:r>
      <w:r w:rsidR="00A46119">
        <w:rPr>
          <w:lang w:val="en-GB"/>
        </w:rPr>
        <w:t xml:space="preserve">the </w:t>
      </w:r>
      <w:r>
        <w:rPr>
          <w:lang w:val="en-GB"/>
        </w:rPr>
        <w:t>Billboard width</w:t>
      </w:r>
      <w:r w:rsidR="00A46119">
        <w:rPr>
          <w:lang w:val="en-GB"/>
        </w:rPr>
        <w:t>s</w:t>
      </w:r>
      <w:r>
        <w:rPr>
          <w:lang w:val="en-GB"/>
        </w:rPr>
        <w:t xml:space="preserve"> </w:t>
      </w:r>
      <w:r w:rsidR="00A46119">
        <w:rPr>
          <w:lang w:val="en-GB"/>
        </w:rPr>
        <w:t xml:space="preserve">of the respective species stored </w:t>
      </w:r>
      <w:r>
        <w:rPr>
          <w:lang w:val="en-GB"/>
        </w:rPr>
        <w:t>in the Species database.</w:t>
      </w:r>
      <w:r w:rsidR="00A46119">
        <w:rPr>
          <w:lang w:val="en-GB"/>
        </w:rPr>
        <w:t xml:space="preserve"> However, </w:t>
      </w:r>
      <w:r w:rsidR="00784B5D">
        <w:rPr>
          <w:lang w:val="en-GB"/>
        </w:rPr>
        <w:t xml:space="preserve">due to the lack of 3D depth of billboards, and variability on transparent areas on billboards, </w:t>
      </w:r>
      <w:r w:rsidR="00A46119">
        <w:rPr>
          <w:lang w:val="en-GB"/>
        </w:rPr>
        <w:t xml:space="preserve">the actual densities </w:t>
      </w:r>
      <w:r w:rsidR="00784B5D">
        <w:rPr>
          <w:lang w:val="en-GB"/>
        </w:rPr>
        <w:t xml:space="preserve">should </w:t>
      </w:r>
      <w:r w:rsidR="00A46119">
        <w:rPr>
          <w:lang w:val="en-GB"/>
        </w:rPr>
        <w:t>be adjusted visually.</w:t>
      </w:r>
    </w:p>
    <w:p w14:paraId="2D9CF6AE" w14:textId="350544FA" w:rsidR="00570F96" w:rsidRDefault="00174BFC" w:rsidP="00570F96">
      <w:pPr>
        <w:pStyle w:val="ListParagraph"/>
        <w:numPr>
          <w:ilvl w:val="1"/>
          <w:numId w:val="1"/>
        </w:numPr>
        <w:rPr>
          <w:lang w:val="en-GB"/>
        </w:rPr>
      </w:pPr>
      <w:r>
        <w:rPr>
          <w:lang w:val="en-GB"/>
        </w:rPr>
        <w:t xml:space="preserve">The resulting total Species cover % for species in the same vegetation layer can be less than 100 %. </w:t>
      </w:r>
      <w:r w:rsidR="00570F96">
        <w:rPr>
          <w:lang w:val="en-GB"/>
        </w:rPr>
        <w:t xml:space="preserve">Please note </w:t>
      </w:r>
      <w:r w:rsidR="00DC70C6">
        <w:rPr>
          <w:lang w:val="en-GB"/>
        </w:rPr>
        <w:t xml:space="preserve">that </w:t>
      </w:r>
      <w:r w:rsidR="00570F96">
        <w:rPr>
          <w:lang w:val="en-GB"/>
        </w:rPr>
        <w:t>Species cover</w:t>
      </w:r>
      <w:r w:rsidR="008D7820">
        <w:rPr>
          <w:lang w:val="en-GB"/>
        </w:rPr>
        <w:t>s</w:t>
      </w:r>
      <w:r w:rsidR="00570F96">
        <w:rPr>
          <w:lang w:val="en-GB"/>
        </w:rPr>
        <w:t xml:space="preserve"> % </w:t>
      </w:r>
      <w:r w:rsidR="008D7820">
        <w:rPr>
          <w:lang w:val="en-GB"/>
        </w:rPr>
        <w:t xml:space="preserve">are </w:t>
      </w:r>
      <w:r w:rsidR="00570F96">
        <w:rPr>
          <w:lang w:val="en-GB"/>
        </w:rPr>
        <w:t>calculated separately for each vegetation layer</w:t>
      </w:r>
      <w:r w:rsidR="008D7820">
        <w:rPr>
          <w:lang w:val="en-GB"/>
        </w:rPr>
        <w:t>, starting from (A) Trees, followed by (B) Bushes and Shrubs</w:t>
      </w:r>
      <w:r w:rsidR="00570F96">
        <w:rPr>
          <w:lang w:val="en-GB"/>
        </w:rPr>
        <w:t xml:space="preserve">. It is advisable to </w:t>
      </w:r>
      <w:r w:rsidR="00DC70C6">
        <w:rPr>
          <w:lang w:val="en-GB"/>
        </w:rPr>
        <w:t xml:space="preserve">reduce the area of trunks of plant individuals of previous layers from the </w:t>
      </w:r>
      <w:r w:rsidR="008D7820">
        <w:rPr>
          <w:lang w:val="en-GB"/>
        </w:rPr>
        <w:t>available green area before calculating Species covers for the next layer, to avoid overcrowding the remaining space with plants.</w:t>
      </w:r>
    </w:p>
    <w:p w14:paraId="49E5F66F" w14:textId="77777777" w:rsidR="008D7820" w:rsidRPr="006039CA" w:rsidRDefault="008D7820" w:rsidP="008D7820">
      <w:pPr>
        <w:pStyle w:val="ListParagraph"/>
        <w:ind w:left="1080"/>
        <w:rPr>
          <w:lang w:val="en-GB"/>
        </w:rPr>
      </w:pPr>
    </w:p>
    <w:p w14:paraId="4872C7B8" w14:textId="4DF07074" w:rsidR="00795C99" w:rsidRPr="00DD509B" w:rsidRDefault="001A48C3" w:rsidP="297AB3D3">
      <w:pPr>
        <w:pStyle w:val="ListParagraph"/>
        <w:numPr>
          <w:ilvl w:val="0"/>
          <w:numId w:val="1"/>
        </w:numPr>
        <w:rPr>
          <w:lang w:val="en-GB"/>
        </w:rPr>
      </w:pPr>
      <w:r w:rsidRPr="001A48C3">
        <w:rPr>
          <w:lang w:val="en-GB"/>
        </w:rPr>
        <w:t>Randomize point coordinates to the green area for each individu</w:t>
      </w:r>
      <w:r>
        <w:rPr>
          <w:lang w:val="en-GB"/>
        </w:rPr>
        <w:t>al, avoiding overlap of the placed plant 3D models</w:t>
      </w:r>
      <w:r w:rsidR="00BF165E" w:rsidRPr="001A48C3">
        <w:rPr>
          <w:lang w:val="en-GB"/>
        </w:rPr>
        <w:t xml:space="preserve"> (</w:t>
      </w:r>
      <w:r>
        <w:rPr>
          <w:lang w:val="en-GB"/>
        </w:rPr>
        <w:t xml:space="preserve">Fig. </w:t>
      </w:r>
      <w:r w:rsidR="00BF165E" w:rsidRPr="001A48C3">
        <w:rPr>
          <w:lang w:val="en-GB"/>
        </w:rPr>
        <w:t xml:space="preserve">1, </w:t>
      </w:r>
      <w:r>
        <w:rPr>
          <w:lang w:val="en-GB"/>
        </w:rPr>
        <w:t>right</w:t>
      </w:r>
      <w:r w:rsidR="00BF165E" w:rsidRPr="001A48C3">
        <w:rPr>
          <w:lang w:val="en-GB"/>
        </w:rPr>
        <w:t>).</w:t>
      </w:r>
      <w:r>
        <w:rPr>
          <w:lang w:val="en-GB"/>
        </w:rPr>
        <w:t xml:space="preserve"> It is advisable to generate some natural</w:t>
      </w:r>
      <w:r w:rsidR="00CD4B47">
        <w:rPr>
          <w:lang w:val="en-GB"/>
        </w:rPr>
        <w:t>-looking</w:t>
      </w:r>
      <w:r>
        <w:rPr>
          <w:lang w:val="en-GB"/>
        </w:rPr>
        <w:t xml:space="preserve"> variation </w:t>
      </w:r>
      <w:r w:rsidR="000F143C">
        <w:rPr>
          <w:lang w:val="en-GB"/>
        </w:rPr>
        <w:t xml:space="preserve">to plants </w:t>
      </w:r>
      <w:r w:rsidR="00CD4B47">
        <w:rPr>
          <w:lang w:val="en-GB"/>
        </w:rPr>
        <w:t xml:space="preserve">of the same species </w:t>
      </w:r>
      <w:r>
        <w:rPr>
          <w:lang w:val="en-GB"/>
        </w:rPr>
        <w:t>by spinning 3D models and by generating some height variation to the 3D models.</w:t>
      </w:r>
    </w:p>
    <w:p w14:paraId="2C078E63" w14:textId="349F85B4" w:rsidR="00795C99" w:rsidRDefault="00795C99" w:rsidP="297AB3D3">
      <w:pPr>
        <w:rPr>
          <w:lang w:val="en-GB"/>
        </w:rPr>
      </w:pPr>
    </w:p>
    <w:p w14:paraId="66D91E62" w14:textId="33A80842" w:rsidR="00A57115" w:rsidRDefault="00A57115" w:rsidP="00A57115">
      <w:pPr>
        <w:pStyle w:val="Heading2"/>
        <w:rPr>
          <w:lang w:val="en-GB"/>
        </w:rPr>
      </w:pPr>
      <w:r>
        <w:rPr>
          <w:lang w:val="en-GB"/>
        </w:rPr>
        <w:t xml:space="preserve">Plant cover textures for lower </w:t>
      </w:r>
      <w:proofErr w:type="spellStart"/>
      <w:r>
        <w:rPr>
          <w:lang w:val="en-GB"/>
        </w:rPr>
        <w:t>LoD</w:t>
      </w:r>
      <w:proofErr w:type="spellEnd"/>
      <w:r>
        <w:rPr>
          <w:lang w:val="en-GB"/>
        </w:rPr>
        <w:t xml:space="preserve"> for plant cover objects</w:t>
      </w:r>
    </w:p>
    <w:p w14:paraId="5051A5AA" w14:textId="7B3BBD3C" w:rsidR="00A57115" w:rsidRDefault="00A57115" w:rsidP="297AB3D3">
      <w:pPr>
        <w:rPr>
          <w:lang w:val="en-GB"/>
        </w:rPr>
      </w:pPr>
      <w:r>
        <w:rPr>
          <w:lang w:val="en-GB"/>
        </w:rPr>
        <w:t xml:space="preserve">When plant cover polygons are viewed from too far away to be visualized using individual herbaceous plant billboards, plant cover objects can be visualized using </w:t>
      </w:r>
      <w:r w:rsidR="00AC4841">
        <w:rPr>
          <w:lang w:val="en-GB"/>
        </w:rPr>
        <w:t>plant cover</w:t>
      </w:r>
      <w:r>
        <w:rPr>
          <w:lang w:val="en-GB"/>
        </w:rPr>
        <w:t xml:space="preserve"> type specific textures. </w:t>
      </w:r>
      <w:r w:rsidR="00AC4841">
        <w:rPr>
          <w:lang w:val="en-GB"/>
        </w:rPr>
        <w:t>Plant cover</w:t>
      </w:r>
      <w:r>
        <w:rPr>
          <w:lang w:val="en-GB"/>
        </w:rPr>
        <w:t xml:space="preserve"> type textures should be constructed as follows:</w:t>
      </w:r>
    </w:p>
    <w:p w14:paraId="4A703998" w14:textId="15CF7582" w:rsidR="00A57115" w:rsidRDefault="00A57115" w:rsidP="00A57115">
      <w:pPr>
        <w:pStyle w:val="ListParagraph"/>
        <w:numPr>
          <w:ilvl w:val="0"/>
          <w:numId w:val="2"/>
        </w:numPr>
        <w:rPr>
          <w:lang w:val="en-GB"/>
        </w:rPr>
      </w:pPr>
      <w:r>
        <w:rPr>
          <w:lang w:val="en-GB"/>
        </w:rPr>
        <w:t xml:space="preserve">Texture colours should be picked from the colours of the herbaceous plants of the </w:t>
      </w:r>
      <w:r w:rsidR="00AC4841">
        <w:rPr>
          <w:lang w:val="en-GB"/>
        </w:rPr>
        <w:t>plant cover</w:t>
      </w:r>
      <w:r>
        <w:rPr>
          <w:lang w:val="en-GB"/>
        </w:rPr>
        <w:t xml:space="preserve"> type, so that the resulting texture is descriptive.</w:t>
      </w:r>
    </w:p>
    <w:p w14:paraId="46A299C4" w14:textId="673B6CE5" w:rsidR="00A57115" w:rsidRDefault="00A57115" w:rsidP="00A57115">
      <w:pPr>
        <w:pStyle w:val="ListParagraph"/>
        <w:numPr>
          <w:ilvl w:val="0"/>
          <w:numId w:val="2"/>
        </w:numPr>
        <w:rPr>
          <w:lang w:val="en-GB"/>
        </w:rPr>
      </w:pPr>
      <w:r>
        <w:rPr>
          <w:lang w:val="en-GB"/>
        </w:rPr>
        <w:t>Texture pattern should either be created based on a real image of a site, or created algorithmically to contain a suitable level of pattern aggregation.</w:t>
      </w:r>
    </w:p>
    <w:p w14:paraId="6DCD7C28" w14:textId="35DC06CF" w:rsidR="00CF6241" w:rsidRDefault="00CF6241" w:rsidP="00A57115">
      <w:pPr>
        <w:pStyle w:val="ListParagraph"/>
        <w:numPr>
          <w:ilvl w:val="0"/>
          <w:numId w:val="2"/>
        </w:numPr>
        <w:rPr>
          <w:lang w:val="en-GB"/>
        </w:rPr>
      </w:pPr>
      <w:r>
        <w:rPr>
          <w:lang w:val="en-GB"/>
        </w:rPr>
        <w:t>To create seasonal variants, texture variants should be created in seasonal colours.</w:t>
      </w:r>
    </w:p>
    <w:p w14:paraId="4166A398" w14:textId="500A9732" w:rsidR="00C23085" w:rsidRDefault="00C23085" w:rsidP="00C23085">
      <w:pPr>
        <w:rPr>
          <w:lang w:val="en-GB"/>
        </w:rPr>
      </w:pPr>
      <w:r>
        <w:rPr>
          <w:lang w:val="en-GB"/>
        </w:rPr>
        <w:t xml:space="preserve">As Unity applications cannot store more than a restricted number of ground textures, </w:t>
      </w:r>
      <w:r w:rsidR="00CF6241">
        <w:rPr>
          <w:lang w:val="en-GB"/>
        </w:rPr>
        <w:t xml:space="preserve">there may be a need to </w:t>
      </w:r>
      <w:r w:rsidR="001C2D44">
        <w:rPr>
          <w:lang w:val="en-GB"/>
        </w:rPr>
        <w:t xml:space="preserve">group </w:t>
      </w:r>
      <w:r w:rsidR="00AC4841">
        <w:rPr>
          <w:lang w:val="en-GB"/>
        </w:rPr>
        <w:t>plant cover</w:t>
      </w:r>
      <w:r w:rsidR="001C2D44">
        <w:rPr>
          <w:lang w:val="en-GB"/>
        </w:rPr>
        <w:t xml:space="preserve"> types to use the same ground texture for lower </w:t>
      </w:r>
      <w:proofErr w:type="spellStart"/>
      <w:r w:rsidR="001C2D44">
        <w:rPr>
          <w:lang w:val="en-GB"/>
        </w:rPr>
        <w:t>LoD</w:t>
      </w:r>
      <w:proofErr w:type="spellEnd"/>
      <w:r w:rsidR="001C2D44">
        <w:rPr>
          <w:lang w:val="en-GB"/>
        </w:rPr>
        <w:t xml:space="preserve"> visualizations.</w:t>
      </w:r>
    </w:p>
    <w:p w14:paraId="41573ADF" w14:textId="4A7A5175" w:rsidR="00EF7037" w:rsidRDefault="00EF7037" w:rsidP="00C23085">
      <w:pPr>
        <w:rPr>
          <w:lang w:val="en-GB"/>
        </w:rPr>
      </w:pPr>
    </w:p>
    <w:p w14:paraId="2CD9E7E9" w14:textId="77777777" w:rsidR="00EF7037" w:rsidRDefault="00EF7037" w:rsidP="00EF7037">
      <w:pPr>
        <w:pStyle w:val="Heading2"/>
      </w:pPr>
      <w:r>
        <w:t>Maintenance intensity effects at plant cover objects</w:t>
      </w:r>
    </w:p>
    <w:p w14:paraId="3EA2AF42" w14:textId="77777777" w:rsidR="00EF7037" w:rsidRDefault="00EF7037" w:rsidP="00EF7037">
      <w:pPr>
        <w:rPr>
          <w:rFonts w:ascii="Calibri" w:eastAsia="Calibri" w:hAnsi="Calibri" w:cs="Calibri"/>
          <w:color w:val="000000" w:themeColor="text1"/>
        </w:rPr>
      </w:pPr>
      <w:r>
        <w:rPr>
          <w:rFonts w:ascii="Calibri" w:eastAsia="Calibri" w:hAnsi="Calibri" w:cs="Calibri"/>
          <w:color w:val="000000" w:themeColor="text1"/>
        </w:rPr>
        <w:t>The change of green area/plant cover vegetation in response to change of maintenance intensity is difficult to predict given the lack of suitable data in the current GreenTwins version. This finding was also confirmed by GreenTwins experts in Tallinn and Helsinki.</w:t>
      </w:r>
    </w:p>
    <w:p w14:paraId="022A5A1C" w14:textId="77777777" w:rsidR="00EF7037" w:rsidRDefault="00EF7037" w:rsidP="00EF7037">
      <w:pPr>
        <w:rPr>
          <w:rFonts w:ascii="Calibri" w:eastAsia="Calibri" w:hAnsi="Calibri" w:cs="Calibri"/>
          <w:color w:val="000000" w:themeColor="text1"/>
        </w:rPr>
      </w:pPr>
      <w:r>
        <w:rPr>
          <w:rFonts w:ascii="Calibri" w:eastAsia="Calibri" w:hAnsi="Calibri" w:cs="Calibri"/>
          <w:color w:val="000000" w:themeColor="text1"/>
        </w:rPr>
        <w:t xml:space="preserve">However, as suggested by experts, change of maintenance intensity can be easily and reliably visualized by maintaining the inventoried green area vegetation, and changing vegetation height in 3D visualization applications as per maintenance intensity. This requires cropping of the herbaceous plant billboards to a smaller height when Maintenance intensity has been specified Weekly, but presenting the </w:t>
      </w:r>
      <w:proofErr w:type="gramStart"/>
      <w:r>
        <w:rPr>
          <w:rFonts w:ascii="Calibri" w:eastAsia="Calibri" w:hAnsi="Calibri" w:cs="Calibri"/>
          <w:color w:val="000000" w:themeColor="text1"/>
        </w:rPr>
        <w:t>fully grown</w:t>
      </w:r>
      <w:proofErr w:type="gramEnd"/>
      <w:r>
        <w:rPr>
          <w:rFonts w:ascii="Calibri" w:eastAsia="Calibri" w:hAnsi="Calibri" w:cs="Calibri"/>
          <w:color w:val="000000" w:themeColor="text1"/>
        </w:rPr>
        <w:t xml:space="preserve"> plant billboards when Maintenance intensity has been specified 1 time/year, 2 times/year or Never.</w:t>
      </w:r>
    </w:p>
    <w:p w14:paraId="5193C42E" w14:textId="77777777" w:rsidR="00EF7037" w:rsidRPr="00EF7037" w:rsidRDefault="00EF7037" w:rsidP="00C23085">
      <w:bookmarkStart w:id="0" w:name="_GoBack"/>
      <w:bookmarkEnd w:id="0"/>
    </w:p>
    <w:sectPr w:rsidR="00EF7037" w:rsidRPr="00EF70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80A08"/>
    <w:multiLevelType w:val="hybridMultilevel"/>
    <w:tmpl w:val="702CDC2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926BDE"/>
    <w:multiLevelType w:val="hybridMultilevel"/>
    <w:tmpl w:val="E0EC5F96"/>
    <w:lvl w:ilvl="0" w:tplc="6D2E0B4A">
      <w:start w:val="1"/>
      <w:numFmt w:val="bullet"/>
      <w:lvlText w:val=""/>
      <w:lvlJc w:val="left"/>
      <w:pPr>
        <w:ind w:left="360" w:hanging="360"/>
      </w:pPr>
      <w:rPr>
        <w:rFonts w:ascii="Symbol" w:hAnsi="Symbol" w:hint="default"/>
      </w:rPr>
    </w:lvl>
    <w:lvl w:ilvl="1" w:tplc="78C0BB12">
      <w:start w:val="1"/>
      <w:numFmt w:val="bullet"/>
      <w:lvlText w:val="o"/>
      <w:lvlJc w:val="left"/>
      <w:pPr>
        <w:ind w:left="1080" w:hanging="360"/>
      </w:pPr>
      <w:rPr>
        <w:rFonts w:ascii="Courier New" w:hAnsi="Courier New" w:cs="Times New Roman" w:hint="default"/>
      </w:rPr>
    </w:lvl>
    <w:lvl w:ilvl="2" w:tplc="134805EC">
      <w:start w:val="1"/>
      <w:numFmt w:val="bullet"/>
      <w:lvlText w:val=""/>
      <w:lvlJc w:val="left"/>
      <w:pPr>
        <w:ind w:left="1800" w:hanging="360"/>
      </w:pPr>
      <w:rPr>
        <w:rFonts w:ascii="Wingdings" w:hAnsi="Wingdings" w:hint="default"/>
      </w:rPr>
    </w:lvl>
    <w:lvl w:ilvl="3" w:tplc="856CEDCE">
      <w:start w:val="1"/>
      <w:numFmt w:val="bullet"/>
      <w:lvlText w:val=""/>
      <w:lvlJc w:val="left"/>
      <w:pPr>
        <w:ind w:left="2520" w:hanging="360"/>
      </w:pPr>
      <w:rPr>
        <w:rFonts w:ascii="Symbol" w:hAnsi="Symbol" w:hint="default"/>
      </w:rPr>
    </w:lvl>
    <w:lvl w:ilvl="4" w:tplc="B34E4E28">
      <w:start w:val="1"/>
      <w:numFmt w:val="bullet"/>
      <w:lvlText w:val="o"/>
      <w:lvlJc w:val="left"/>
      <w:pPr>
        <w:ind w:left="3240" w:hanging="360"/>
      </w:pPr>
      <w:rPr>
        <w:rFonts w:ascii="Courier New" w:hAnsi="Courier New" w:cs="Times New Roman" w:hint="default"/>
      </w:rPr>
    </w:lvl>
    <w:lvl w:ilvl="5" w:tplc="CB88BC9A">
      <w:start w:val="1"/>
      <w:numFmt w:val="bullet"/>
      <w:lvlText w:val=""/>
      <w:lvlJc w:val="left"/>
      <w:pPr>
        <w:ind w:left="3960" w:hanging="360"/>
      </w:pPr>
      <w:rPr>
        <w:rFonts w:ascii="Wingdings" w:hAnsi="Wingdings" w:hint="default"/>
      </w:rPr>
    </w:lvl>
    <w:lvl w:ilvl="6" w:tplc="EA485B54">
      <w:start w:val="1"/>
      <w:numFmt w:val="bullet"/>
      <w:lvlText w:val=""/>
      <w:lvlJc w:val="left"/>
      <w:pPr>
        <w:ind w:left="4680" w:hanging="360"/>
      </w:pPr>
      <w:rPr>
        <w:rFonts w:ascii="Symbol" w:hAnsi="Symbol" w:hint="default"/>
      </w:rPr>
    </w:lvl>
    <w:lvl w:ilvl="7" w:tplc="3F8C50C2">
      <w:start w:val="1"/>
      <w:numFmt w:val="bullet"/>
      <w:lvlText w:val="o"/>
      <w:lvlJc w:val="left"/>
      <w:pPr>
        <w:ind w:left="5400" w:hanging="360"/>
      </w:pPr>
      <w:rPr>
        <w:rFonts w:ascii="Courier New" w:hAnsi="Courier New" w:cs="Times New Roman" w:hint="default"/>
      </w:rPr>
    </w:lvl>
    <w:lvl w:ilvl="8" w:tplc="A84A8E74">
      <w:start w:val="1"/>
      <w:numFmt w:val="bullet"/>
      <w:lvlText w:val=""/>
      <w:lvlJc w:val="left"/>
      <w:pPr>
        <w:ind w:left="6120" w:hanging="360"/>
      </w:pPr>
      <w:rPr>
        <w:rFonts w:ascii="Wingdings" w:hAnsi="Wingdings" w:hint="default"/>
      </w:rPr>
    </w:lvl>
  </w:abstractNum>
  <w:abstractNum w:abstractNumId="2" w15:restartNumberingAfterBreak="0">
    <w:nsid w:val="2A582FF6"/>
    <w:multiLevelType w:val="hybridMultilevel"/>
    <w:tmpl w:val="2A28C448"/>
    <w:lvl w:ilvl="0" w:tplc="C1DEF282">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7A5FE8"/>
    <w:multiLevelType w:val="hybridMultilevel"/>
    <w:tmpl w:val="BB4CE72C"/>
    <w:lvl w:ilvl="0" w:tplc="407E9940">
      <w:start w:val="1"/>
      <w:numFmt w:val="decimal"/>
      <w:lvlText w:val="%1."/>
      <w:lvlJc w:val="left"/>
      <w:pPr>
        <w:ind w:left="360" w:hanging="360"/>
      </w:pPr>
    </w:lvl>
    <w:lvl w:ilvl="1" w:tplc="AA96C7AC">
      <w:start w:val="1"/>
      <w:numFmt w:val="lowerLetter"/>
      <w:lvlText w:val="%2."/>
      <w:lvlJc w:val="left"/>
      <w:pPr>
        <w:ind w:left="1080" w:hanging="360"/>
      </w:pPr>
    </w:lvl>
    <w:lvl w:ilvl="2" w:tplc="95EE3BFA">
      <w:start w:val="1"/>
      <w:numFmt w:val="lowerRoman"/>
      <w:lvlText w:val="%3."/>
      <w:lvlJc w:val="right"/>
      <w:pPr>
        <w:ind w:left="1800" w:hanging="180"/>
      </w:pPr>
    </w:lvl>
    <w:lvl w:ilvl="3" w:tplc="4D3A2BDE">
      <w:start w:val="1"/>
      <w:numFmt w:val="decimal"/>
      <w:lvlText w:val="%4."/>
      <w:lvlJc w:val="left"/>
      <w:pPr>
        <w:ind w:left="2520" w:hanging="360"/>
      </w:pPr>
    </w:lvl>
    <w:lvl w:ilvl="4" w:tplc="424CE2E2">
      <w:start w:val="1"/>
      <w:numFmt w:val="lowerLetter"/>
      <w:lvlText w:val="%5."/>
      <w:lvlJc w:val="left"/>
      <w:pPr>
        <w:ind w:left="3240" w:hanging="360"/>
      </w:pPr>
    </w:lvl>
    <w:lvl w:ilvl="5" w:tplc="7E12EE48">
      <w:start w:val="1"/>
      <w:numFmt w:val="lowerRoman"/>
      <w:lvlText w:val="%6."/>
      <w:lvlJc w:val="right"/>
      <w:pPr>
        <w:ind w:left="3960" w:hanging="180"/>
      </w:pPr>
    </w:lvl>
    <w:lvl w:ilvl="6" w:tplc="D2C6A4C2">
      <w:start w:val="1"/>
      <w:numFmt w:val="decimal"/>
      <w:lvlText w:val="%7."/>
      <w:lvlJc w:val="left"/>
      <w:pPr>
        <w:ind w:left="4680" w:hanging="360"/>
      </w:pPr>
    </w:lvl>
    <w:lvl w:ilvl="7" w:tplc="3F3C6A5A">
      <w:start w:val="1"/>
      <w:numFmt w:val="lowerLetter"/>
      <w:lvlText w:val="%8."/>
      <w:lvlJc w:val="left"/>
      <w:pPr>
        <w:ind w:left="5400" w:hanging="360"/>
      </w:pPr>
    </w:lvl>
    <w:lvl w:ilvl="8" w:tplc="80DE4CCE">
      <w:start w:val="1"/>
      <w:numFmt w:val="lowerRoman"/>
      <w:lvlText w:val="%9."/>
      <w:lvlJc w:val="right"/>
      <w:pPr>
        <w:ind w:left="6120" w:hanging="180"/>
      </w:pPr>
    </w:lvl>
  </w:abstractNum>
  <w:num w:numId="1">
    <w:abstractNumId w:val="0"/>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60C72B8"/>
    <w:rsid w:val="00033E07"/>
    <w:rsid w:val="0005165A"/>
    <w:rsid w:val="000A24DB"/>
    <w:rsid w:val="000F143C"/>
    <w:rsid w:val="00132199"/>
    <w:rsid w:val="00162C29"/>
    <w:rsid w:val="00174BFC"/>
    <w:rsid w:val="001A48C3"/>
    <w:rsid w:val="001C2D44"/>
    <w:rsid w:val="001E5535"/>
    <w:rsid w:val="00235C11"/>
    <w:rsid w:val="00276854"/>
    <w:rsid w:val="00305656"/>
    <w:rsid w:val="003E276A"/>
    <w:rsid w:val="00570F96"/>
    <w:rsid w:val="005833D6"/>
    <w:rsid w:val="005F0861"/>
    <w:rsid w:val="006039CA"/>
    <w:rsid w:val="006923BA"/>
    <w:rsid w:val="00784B5D"/>
    <w:rsid w:val="00795C99"/>
    <w:rsid w:val="007F2E5B"/>
    <w:rsid w:val="00811CE9"/>
    <w:rsid w:val="00861CCF"/>
    <w:rsid w:val="008B7E5D"/>
    <w:rsid w:val="008D7820"/>
    <w:rsid w:val="00947C3B"/>
    <w:rsid w:val="009E1E92"/>
    <w:rsid w:val="00A04DFB"/>
    <w:rsid w:val="00A201C5"/>
    <w:rsid w:val="00A46119"/>
    <w:rsid w:val="00A57115"/>
    <w:rsid w:val="00A74064"/>
    <w:rsid w:val="00AC4841"/>
    <w:rsid w:val="00AE77A6"/>
    <w:rsid w:val="00BF165E"/>
    <w:rsid w:val="00C23085"/>
    <w:rsid w:val="00C37504"/>
    <w:rsid w:val="00CD4B47"/>
    <w:rsid w:val="00CF6241"/>
    <w:rsid w:val="00DC70C6"/>
    <w:rsid w:val="00DD509B"/>
    <w:rsid w:val="00EC1D5E"/>
    <w:rsid w:val="00EF7037"/>
    <w:rsid w:val="297AB3D3"/>
    <w:rsid w:val="33BAC39D"/>
    <w:rsid w:val="560C7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C72B8"/>
  <w15:chartTrackingRefBased/>
  <w15:docId w15:val="{0B9048EC-5EA8-46F0-A2DB-8E184D5E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750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3750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75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3750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6039CA"/>
    <w:pPr>
      <w:ind w:left="720"/>
      <w:contextualSpacing/>
    </w:pPr>
  </w:style>
  <w:style w:type="character" w:styleId="Hyperlink">
    <w:name w:val="Hyperlink"/>
    <w:basedOn w:val="DefaultParagraphFont"/>
    <w:uiPriority w:val="99"/>
    <w:semiHidden/>
    <w:unhideWhenUsed/>
    <w:rsid w:val="00EF70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8396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vettu.sharepoint.com/:w:/s/GreenTwins/EcNNUpXMDLhHsFsnfYm8vTgBzJiWYndj2AkJYuTis2Zdjw?e=XUfOVD"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7f52128-f02d-41fd-b8ad-5e99c814b7a4" xsi:nil="true"/>
    <lcf76f155ced4ddcb4097134ff3c332f xmlns="bad4ced1-1384-4ca2-ad79-09c7ae9d79b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545112391FEED459F7AB8EDDA52846B" ma:contentTypeVersion="16" ma:contentTypeDescription="Create a new document." ma:contentTypeScope="" ma:versionID="85f1c526f244051b0b4f9100b7c96820">
  <xsd:schema xmlns:xsd="http://www.w3.org/2001/XMLSchema" xmlns:xs="http://www.w3.org/2001/XMLSchema" xmlns:p="http://schemas.microsoft.com/office/2006/metadata/properties" xmlns:ns2="bad4ced1-1384-4ca2-ad79-09c7ae9d79b7" xmlns:ns3="47f52128-f02d-41fd-b8ad-5e99c814b7a4" targetNamespace="http://schemas.microsoft.com/office/2006/metadata/properties" ma:root="true" ma:fieldsID="11767247ac8d82e16fe912741ce38e5f" ns2:_="" ns3:_="">
    <xsd:import namespace="bad4ced1-1384-4ca2-ad79-09c7ae9d79b7"/>
    <xsd:import namespace="47f52128-f02d-41fd-b8ad-5e99c814b7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4ced1-1384-4ca2-ad79-09c7ae9d7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e5263c0-7114-47d3-8603-0e3ef132c9e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f52128-f02d-41fd-b8ad-5e99c814b7a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31c11db-2ce2-4ea6-8df2-331bb29b2897}" ma:internalName="TaxCatchAll" ma:showField="CatchAllData" ma:web="47f52128-f02d-41fd-b8ad-5e99c814b7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95E663-5D79-46A3-AFAD-2FB2ACD7524B}">
  <ds:schemaRefs>
    <ds:schemaRef ds:uri="47f52128-f02d-41fd-b8ad-5e99c814b7a4"/>
    <ds:schemaRef ds:uri="http://purl.org/dc/dcmitype/"/>
    <ds:schemaRef ds:uri="http://www.w3.org/XML/1998/namespace"/>
    <ds:schemaRef ds:uri="http://schemas.microsoft.com/office/infopath/2007/PartnerControls"/>
    <ds:schemaRef ds:uri="http://schemas.openxmlformats.org/package/2006/metadata/core-properties"/>
    <ds:schemaRef ds:uri="http://purl.org/dc/terms/"/>
    <ds:schemaRef ds:uri="http://schemas.microsoft.com/office/2006/documentManagement/types"/>
    <ds:schemaRef ds:uri="http://purl.org/dc/elements/1.1/"/>
    <ds:schemaRef ds:uri="bad4ced1-1384-4ca2-ad79-09c7ae9d79b7"/>
    <ds:schemaRef ds:uri="http://schemas.microsoft.com/office/2006/metadata/properties"/>
  </ds:schemaRefs>
</ds:datastoreItem>
</file>

<file path=customXml/itemProps2.xml><?xml version="1.0" encoding="utf-8"?>
<ds:datastoreItem xmlns:ds="http://schemas.openxmlformats.org/officeDocument/2006/customXml" ds:itemID="{FD94783B-4EC4-4746-B132-7BE678E1E885}"/>
</file>

<file path=customXml/itemProps3.xml><?xml version="1.0" encoding="utf-8"?>
<ds:datastoreItem xmlns:ds="http://schemas.openxmlformats.org/officeDocument/2006/customXml" ds:itemID="{AAEECEEF-0513-4974-87D0-760FBFFF98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551</TotalTime>
  <Pages>3</Pages>
  <Words>1013</Words>
  <Characters>5776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Eeva Henna Helena Fabritius</dc:creator>
  <cp:keywords/>
  <dc:description/>
  <cp:lastModifiedBy>Eeva Henna Helena Fabritius</cp:lastModifiedBy>
  <cp:revision>31</cp:revision>
  <dcterms:created xsi:type="dcterms:W3CDTF">2023-02-10T13:35:00Z</dcterms:created>
  <dcterms:modified xsi:type="dcterms:W3CDTF">2023-06-01T13:00:00Z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0x0101000545112391FEED459F7AB8EDDA52846B</vt:lpwstr>
  </property>
  <property fmtid="{D5CDD505-2E9C-101B-9397-08002B2CF9AE}" pid="3" name="MediaServiceImageTags">
    <vt:lpwstr/>
  </property>
</Properties>
</file>